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9F7" w:rsidRPr="00BB6C71" w:rsidRDefault="00F209F7" w:rsidP="00F209F7">
      <w:pPr>
        <w:ind w:left="2124" w:hanging="2266"/>
        <w:jc w:val="center"/>
        <w:rPr>
          <w:rFonts w:cs="Calibri"/>
          <w:b/>
          <w:sz w:val="28"/>
          <w:szCs w:val="28"/>
        </w:rPr>
      </w:pPr>
    </w:p>
    <w:p w:rsidR="00F209F7" w:rsidRPr="00BB6C71" w:rsidRDefault="00F209F7" w:rsidP="00F209F7">
      <w:pPr>
        <w:ind w:left="2124" w:hanging="2266"/>
        <w:jc w:val="center"/>
        <w:rPr>
          <w:rFonts w:cs="Calibri"/>
          <w:b/>
          <w:sz w:val="28"/>
          <w:szCs w:val="28"/>
        </w:rPr>
      </w:pPr>
      <w:r>
        <w:rPr>
          <w:sz w:val="28"/>
          <w:szCs w:val="24"/>
          <w:lang w:val="fr-FR" w:eastAsia="fr-FR"/>
        </w:rPr>
        <w:drawing>
          <wp:inline distT="0" distB="0" distL="0" distR="0">
            <wp:extent cx="4658360" cy="1759585"/>
            <wp:effectExtent l="0" t="0" r="8890" b="0"/>
            <wp:docPr id="1" name="Image 1" descr="Logo Grand Calais Terres &amp; Mers-horizo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Logo Grand Calais Terres &amp; Mers-horizonta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360" cy="175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9F7" w:rsidRPr="00BB6C71" w:rsidRDefault="00F209F7" w:rsidP="00F209F7">
      <w:pPr>
        <w:rPr>
          <w:rFonts w:cs="Calibri"/>
          <w:b/>
        </w:rPr>
      </w:pPr>
    </w:p>
    <w:p w:rsidR="00F209F7" w:rsidRPr="00BB6C71" w:rsidRDefault="00F209F7" w:rsidP="00F209F7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spacing w:before="100" w:beforeAutospacing="1"/>
        <w:rPr>
          <w:rFonts w:cs="Calibri"/>
          <w:b/>
          <w:bCs/>
        </w:rPr>
      </w:pPr>
    </w:p>
    <w:p w:rsidR="00F209F7" w:rsidRPr="00F209F7" w:rsidRDefault="00F209F7" w:rsidP="00F209F7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spacing w:before="100" w:beforeAutospacing="1"/>
        <w:jc w:val="center"/>
        <w:rPr>
          <w:rFonts w:cs="Calibri"/>
          <w:b/>
          <w:bCs/>
          <w:sz w:val="30"/>
          <w:szCs w:val="30"/>
          <w:u w:val="single"/>
          <w:lang w:val="fr-FR"/>
        </w:rPr>
      </w:pPr>
      <w:r w:rsidRPr="00F209F7">
        <w:rPr>
          <w:rFonts w:cs="Calibri"/>
          <w:b/>
          <w:bCs/>
          <w:sz w:val="30"/>
          <w:szCs w:val="30"/>
          <w:u w:val="single"/>
          <w:lang w:val="fr-FR"/>
        </w:rPr>
        <w:t>Personne publique</w:t>
      </w:r>
    </w:p>
    <w:p w:rsidR="00F209F7" w:rsidRPr="00F209F7" w:rsidRDefault="00F209F7" w:rsidP="00F209F7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spacing w:before="100" w:beforeAutospacing="1"/>
        <w:jc w:val="center"/>
        <w:rPr>
          <w:rFonts w:cs="Calibri"/>
          <w:lang w:val="fr-FR"/>
        </w:rPr>
      </w:pPr>
      <w:r w:rsidRPr="00F209F7">
        <w:rPr>
          <w:rFonts w:cs="Calibri"/>
          <w:b/>
          <w:bCs/>
          <w:sz w:val="30"/>
          <w:szCs w:val="30"/>
          <w:lang w:val="fr-FR"/>
        </w:rPr>
        <w:t>GRAND CALAIS TERRES ET MERS</w:t>
      </w:r>
    </w:p>
    <w:p w:rsidR="00F209F7" w:rsidRPr="00F209F7" w:rsidRDefault="00F209F7" w:rsidP="00F209F7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tabs>
          <w:tab w:val="left" w:pos="180"/>
        </w:tabs>
        <w:spacing w:before="100" w:beforeAutospacing="1"/>
        <w:jc w:val="center"/>
        <w:rPr>
          <w:rFonts w:cs="Calibri"/>
          <w:b/>
          <w:bCs/>
          <w:sz w:val="30"/>
          <w:szCs w:val="30"/>
          <w:u w:val="single"/>
          <w:lang w:val="fr-FR"/>
        </w:rPr>
      </w:pPr>
    </w:p>
    <w:p w:rsidR="00F209F7" w:rsidRPr="00F209F7" w:rsidRDefault="00F209F7" w:rsidP="00F209F7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tabs>
          <w:tab w:val="left" w:pos="180"/>
        </w:tabs>
        <w:spacing w:before="100" w:beforeAutospacing="1"/>
        <w:jc w:val="center"/>
        <w:rPr>
          <w:rFonts w:cs="Calibri"/>
          <w:b/>
          <w:bCs/>
          <w:sz w:val="30"/>
          <w:szCs w:val="30"/>
          <w:u w:val="single"/>
          <w:lang w:val="fr-FR"/>
        </w:rPr>
      </w:pPr>
      <w:r w:rsidRPr="00F209F7">
        <w:rPr>
          <w:rFonts w:cs="Calibri"/>
          <w:b/>
          <w:bCs/>
          <w:sz w:val="30"/>
          <w:szCs w:val="30"/>
          <w:u w:val="single"/>
          <w:lang w:val="fr-FR"/>
        </w:rPr>
        <w:t>Opération</w:t>
      </w:r>
    </w:p>
    <w:p w:rsidR="00F209F7" w:rsidRPr="00F209F7" w:rsidRDefault="00F209F7" w:rsidP="00F209F7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spacing w:before="100" w:beforeAutospacing="1"/>
        <w:jc w:val="center"/>
        <w:rPr>
          <w:rFonts w:cs="Calibri"/>
          <w:bCs/>
          <w:szCs w:val="24"/>
          <w:lang w:val="fr-FR"/>
        </w:rPr>
      </w:pPr>
      <w:r w:rsidRPr="00F209F7">
        <w:rPr>
          <w:rFonts w:cs="Calibri"/>
          <w:bCs/>
          <w:szCs w:val="24"/>
          <w:lang w:val="fr-FR"/>
        </w:rPr>
        <w:t>REALISATION DE L’ANALYSE DES RISQUES, DE LEURS EFFETS AINSI QUE DES MESURES PREVUES POUR REMEDIER AUX PANNES EVENTUELLES SUR LES STATIONS D’EPURATION « JACQUES MONOD » ET « RUE DE TOUL »</w:t>
      </w:r>
    </w:p>
    <w:p w:rsidR="00F209F7" w:rsidRDefault="00F209F7" w:rsidP="00F209F7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tabs>
          <w:tab w:val="left" w:pos="180"/>
        </w:tabs>
        <w:spacing w:before="100" w:beforeAutospacing="1"/>
        <w:jc w:val="center"/>
        <w:rPr>
          <w:rFonts w:cs="Calibri"/>
          <w:b/>
          <w:bCs/>
          <w:sz w:val="30"/>
          <w:szCs w:val="30"/>
          <w:lang w:val="fr-FR"/>
        </w:rPr>
      </w:pPr>
      <w:r w:rsidRPr="00F209F7">
        <w:rPr>
          <w:rFonts w:cs="Calibri"/>
          <w:b/>
          <w:bCs/>
          <w:sz w:val="30"/>
          <w:szCs w:val="30"/>
          <w:u w:val="single"/>
          <w:lang w:val="fr-FR"/>
        </w:rPr>
        <w:t>Objet de la consultation</w:t>
      </w:r>
      <w:r w:rsidRPr="00F209F7">
        <w:rPr>
          <w:rFonts w:cs="Calibri"/>
          <w:b/>
          <w:bCs/>
          <w:sz w:val="30"/>
          <w:szCs w:val="30"/>
          <w:lang w:val="fr-FR"/>
        </w:rPr>
        <w:t> :</w:t>
      </w:r>
    </w:p>
    <w:p w:rsidR="00F209F7" w:rsidRPr="00F209F7" w:rsidRDefault="00F209F7" w:rsidP="00F209F7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tabs>
          <w:tab w:val="left" w:pos="180"/>
        </w:tabs>
        <w:spacing w:before="100" w:beforeAutospacing="1"/>
        <w:jc w:val="center"/>
        <w:rPr>
          <w:rFonts w:cs="Calibri"/>
          <w:sz w:val="30"/>
          <w:szCs w:val="30"/>
          <w:lang w:val="fr-FR"/>
        </w:rPr>
      </w:pPr>
      <w:r w:rsidRPr="00F209F7">
        <w:rPr>
          <w:rFonts w:cs="Calibri"/>
          <w:szCs w:val="24"/>
          <w:lang w:val="fr-FR"/>
        </w:rPr>
        <w:t>Mission d’assistance à maîtrise d’ouvrage pour la réalisation de l’analyse des risques, de leurs effets ainsi que des mesures prévues pour remédier aux pannes éventuelles</w:t>
      </w:r>
    </w:p>
    <w:p w:rsidR="00F209F7" w:rsidRPr="00F209F7" w:rsidRDefault="00F209F7" w:rsidP="00F209F7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tabs>
          <w:tab w:val="left" w:pos="180"/>
        </w:tabs>
        <w:spacing w:before="100" w:beforeAutospacing="1"/>
        <w:rPr>
          <w:rFonts w:cs="Calibri"/>
          <w:b/>
          <w:bCs/>
          <w:lang w:val="fr-FR"/>
        </w:rPr>
      </w:pPr>
    </w:p>
    <w:p w:rsidR="00F209F7" w:rsidRPr="00F209F7" w:rsidRDefault="00F209F7" w:rsidP="00F209F7">
      <w:pPr>
        <w:rPr>
          <w:rFonts w:cs="Calibri"/>
          <w:lang w:val="fr-FR"/>
        </w:rPr>
      </w:pPr>
    </w:p>
    <w:p w:rsidR="00F209F7" w:rsidRPr="00F209F7" w:rsidRDefault="00F209F7" w:rsidP="00F209F7">
      <w:pPr>
        <w:jc w:val="center"/>
        <w:rPr>
          <w:rFonts w:cs="Calibri"/>
          <w:b/>
          <w:sz w:val="36"/>
          <w:szCs w:val="36"/>
          <w:lang w:val="fr-FR"/>
        </w:rPr>
      </w:pPr>
    </w:p>
    <w:p w:rsidR="00F209F7" w:rsidRPr="00F209F7" w:rsidRDefault="00F209F7" w:rsidP="00F209F7">
      <w:pPr>
        <w:rPr>
          <w:rFonts w:cs="Calibri"/>
          <w:b/>
          <w:lang w:val="fr-FR"/>
        </w:rPr>
      </w:pPr>
    </w:p>
    <w:p w:rsidR="00F209F7" w:rsidRPr="00F209F7" w:rsidRDefault="00F209F7" w:rsidP="00F209F7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Calibri"/>
          <w:sz w:val="28"/>
          <w:lang w:val="fr-FR"/>
        </w:rPr>
      </w:pPr>
    </w:p>
    <w:p w:rsidR="00F209F7" w:rsidRPr="00EE7054" w:rsidRDefault="00EE7054" w:rsidP="00F209F7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Calibri"/>
          <w:sz w:val="48"/>
          <w:lang w:val="fr-FR"/>
        </w:rPr>
      </w:pPr>
      <w:r>
        <w:rPr>
          <w:rFonts w:cs="Calibri"/>
          <w:sz w:val="48"/>
          <w:lang w:val="fr-FR"/>
        </w:rPr>
        <w:t>Bordereau de</w:t>
      </w:r>
      <w:r w:rsidR="00F209F7" w:rsidRPr="00EE7054">
        <w:rPr>
          <w:rFonts w:cs="Calibri"/>
          <w:sz w:val="48"/>
          <w:lang w:val="fr-FR"/>
        </w:rPr>
        <w:t xml:space="preserve"> Prix </w:t>
      </w:r>
      <w:r w:rsidRPr="00EE7054">
        <w:rPr>
          <w:rFonts w:cs="Calibri"/>
          <w:sz w:val="48"/>
          <w:lang w:val="fr-FR"/>
        </w:rPr>
        <w:t>U</w:t>
      </w:r>
      <w:r>
        <w:rPr>
          <w:rFonts w:cs="Calibri"/>
          <w:sz w:val="48"/>
          <w:lang w:val="fr-FR"/>
        </w:rPr>
        <w:t>nitaire</w:t>
      </w:r>
    </w:p>
    <w:p w:rsidR="00F209F7" w:rsidRPr="00BB6C71" w:rsidRDefault="00F209F7" w:rsidP="00F209F7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Calibri"/>
          <w:b/>
        </w:rPr>
      </w:pPr>
    </w:p>
    <w:p w:rsidR="00F209F7" w:rsidRPr="00BB6C71" w:rsidRDefault="00F209F7" w:rsidP="00F209F7">
      <w:pPr>
        <w:rPr>
          <w:rFonts w:cs="Calibri"/>
          <w:b/>
        </w:rPr>
      </w:pPr>
    </w:p>
    <w:p w:rsidR="00F209F7" w:rsidRDefault="00F209F7">
      <w:pPr>
        <w:spacing w:after="200" w:line="276" w:lineRule="auto"/>
      </w:pPr>
      <w:r>
        <w:br w:type="page"/>
      </w:r>
    </w:p>
    <w:tbl>
      <w:tblPr>
        <w:tblStyle w:val="Grilledutableau"/>
        <w:tblW w:w="10348" w:type="dxa"/>
        <w:tblInd w:w="-601" w:type="dxa"/>
        <w:tblLook w:val="04A0" w:firstRow="1" w:lastRow="0" w:firstColumn="1" w:lastColumn="0" w:noHBand="0" w:noVBand="1"/>
      </w:tblPr>
      <w:tblGrid>
        <w:gridCol w:w="4925"/>
        <w:gridCol w:w="1535"/>
        <w:gridCol w:w="1053"/>
        <w:gridCol w:w="1418"/>
        <w:gridCol w:w="1417"/>
      </w:tblGrid>
      <w:tr w:rsidR="00F209F7" w:rsidTr="003A594F">
        <w:tc>
          <w:tcPr>
            <w:tcW w:w="4925" w:type="dxa"/>
          </w:tcPr>
          <w:p w:rsidR="00F209F7" w:rsidRDefault="00F209F7"/>
        </w:tc>
        <w:tc>
          <w:tcPr>
            <w:tcW w:w="1535" w:type="dxa"/>
          </w:tcPr>
          <w:p w:rsidR="00F209F7" w:rsidRDefault="00F209F7">
            <w:r>
              <w:t>Unité</w:t>
            </w:r>
          </w:p>
        </w:tc>
        <w:tc>
          <w:tcPr>
            <w:tcW w:w="1053" w:type="dxa"/>
          </w:tcPr>
          <w:p w:rsidR="00F209F7" w:rsidRDefault="00F209F7">
            <w:r>
              <w:t>Quantité</w:t>
            </w:r>
          </w:p>
        </w:tc>
        <w:tc>
          <w:tcPr>
            <w:tcW w:w="1418" w:type="dxa"/>
          </w:tcPr>
          <w:p w:rsidR="00F209F7" w:rsidRDefault="00F209F7" w:rsidP="00F209F7">
            <w:r>
              <w:t xml:space="preserve">Prix unitaire </w:t>
            </w:r>
          </w:p>
        </w:tc>
        <w:tc>
          <w:tcPr>
            <w:tcW w:w="1417" w:type="dxa"/>
          </w:tcPr>
          <w:p w:rsidR="00F209F7" w:rsidRDefault="00F209F7" w:rsidP="00AC45A0">
            <w:pPr>
              <w:jc w:val="center"/>
            </w:pPr>
            <w:r>
              <w:t>Total</w:t>
            </w:r>
          </w:p>
          <w:p w:rsidR="00F209F7" w:rsidRDefault="00AC45A0" w:rsidP="00AC45A0">
            <w:pPr>
              <w:jc w:val="center"/>
            </w:pPr>
            <w:r>
              <w:t>HT</w:t>
            </w:r>
          </w:p>
        </w:tc>
      </w:tr>
      <w:tr w:rsidR="00F209F7" w:rsidTr="003A594F">
        <w:tc>
          <w:tcPr>
            <w:tcW w:w="4925" w:type="dxa"/>
          </w:tcPr>
          <w:p w:rsidR="00F209F7" w:rsidRPr="00C270EE" w:rsidRDefault="00F209F7" w:rsidP="00F209F7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 w:after="90"/>
              <w:ind w:left="459" w:right="150"/>
              <w:jc w:val="both"/>
              <w:outlineLvl w:val="3"/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  <w:t>Préparation</w:t>
            </w:r>
          </w:p>
          <w:p w:rsidR="00F209F7" w:rsidRPr="00C270EE" w:rsidRDefault="00F209F7" w:rsidP="00F209F7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Définition des groupes de travail</w:t>
            </w:r>
          </w:p>
          <w:p w:rsidR="00F209F7" w:rsidRPr="00DD067A" w:rsidRDefault="00F209F7" w:rsidP="00F209F7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lang w:val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Précision du périmètre de l'étude et de sa portée</w:t>
            </w:r>
          </w:p>
        </w:tc>
        <w:tc>
          <w:tcPr>
            <w:tcW w:w="1535" w:type="dxa"/>
            <w:vAlign w:val="center"/>
          </w:tcPr>
          <w:p w:rsidR="00F209F7" w:rsidRDefault="00F209F7" w:rsidP="003A594F">
            <w:pPr>
              <w:jc w:val="center"/>
            </w:pPr>
            <w:r>
              <w:t>Jour</w:t>
            </w:r>
          </w:p>
        </w:tc>
        <w:tc>
          <w:tcPr>
            <w:tcW w:w="1053" w:type="dxa"/>
            <w:vAlign w:val="center"/>
          </w:tcPr>
          <w:p w:rsidR="00F209F7" w:rsidRDefault="00AB2EA4" w:rsidP="003A594F">
            <w:pPr>
              <w:jc w:val="center"/>
            </w:pPr>
            <w:r>
              <w:t>1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F209F7" w:rsidRDefault="00F209F7"/>
        </w:tc>
        <w:tc>
          <w:tcPr>
            <w:tcW w:w="1417" w:type="dxa"/>
            <w:vAlign w:val="center"/>
          </w:tcPr>
          <w:p w:rsidR="00F209F7" w:rsidRDefault="00F209F7"/>
        </w:tc>
      </w:tr>
      <w:tr w:rsidR="003A594F" w:rsidTr="003A594F">
        <w:tc>
          <w:tcPr>
            <w:tcW w:w="10348" w:type="dxa"/>
            <w:gridSpan w:val="5"/>
          </w:tcPr>
          <w:p w:rsidR="003A594F" w:rsidRDefault="003A594F" w:rsidP="003A594F">
            <w:pPr>
              <w:jc w:val="center"/>
            </w:pPr>
            <w:r>
              <w:t>Station Monod</w:t>
            </w:r>
          </w:p>
        </w:tc>
      </w:tr>
      <w:tr w:rsidR="003A594F" w:rsidTr="003A594F">
        <w:tc>
          <w:tcPr>
            <w:tcW w:w="4925" w:type="dxa"/>
          </w:tcPr>
          <w:p w:rsidR="003A594F" w:rsidRPr="00C270EE" w:rsidRDefault="003A594F" w:rsidP="00F209F7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 w:after="90"/>
              <w:ind w:left="459" w:right="150"/>
              <w:jc w:val="both"/>
              <w:outlineLvl w:val="3"/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  <w:t>Analyse fonctionnelle</w:t>
            </w:r>
          </w:p>
          <w:p w:rsidR="003A594F" w:rsidRPr="00C270EE" w:rsidRDefault="003A594F" w:rsidP="00F209F7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Découpage fonctionnel</w:t>
            </w:r>
          </w:p>
          <w:p w:rsidR="003A594F" w:rsidRPr="00DD067A" w:rsidRDefault="003A594F" w:rsidP="00F209F7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lang w:val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Préparation de l'étude de défaillance</w:t>
            </w:r>
          </w:p>
        </w:tc>
        <w:tc>
          <w:tcPr>
            <w:tcW w:w="1535" w:type="dxa"/>
            <w:vAlign w:val="center"/>
          </w:tcPr>
          <w:p w:rsidR="003A594F" w:rsidRDefault="003A594F" w:rsidP="00380DFF">
            <w:pPr>
              <w:jc w:val="center"/>
            </w:pPr>
            <w:r>
              <w:t>Jour</w:t>
            </w:r>
          </w:p>
        </w:tc>
        <w:tc>
          <w:tcPr>
            <w:tcW w:w="1053" w:type="dxa"/>
            <w:vAlign w:val="center"/>
          </w:tcPr>
          <w:p w:rsidR="003A594F" w:rsidRDefault="00AB2EA4" w:rsidP="003A594F">
            <w:pPr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3A594F" w:rsidRDefault="003A594F" w:rsidP="003A594F">
            <w:pPr>
              <w:jc w:val="center"/>
            </w:pPr>
          </w:p>
        </w:tc>
        <w:tc>
          <w:tcPr>
            <w:tcW w:w="1417" w:type="dxa"/>
            <w:vAlign w:val="center"/>
          </w:tcPr>
          <w:p w:rsidR="003A594F" w:rsidRDefault="003A594F" w:rsidP="003A594F">
            <w:pPr>
              <w:jc w:val="center"/>
            </w:pPr>
          </w:p>
        </w:tc>
      </w:tr>
      <w:tr w:rsidR="003A594F" w:rsidTr="003A594F">
        <w:tc>
          <w:tcPr>
            <w:tcW w:w="4925" w:type="dxa"/>
          </w:tcPr>
          <w:p w:rsidR="003A594F" w:rsidRPr="00C270EE" w:rsidRDefault="003A594F" w:rsidP="00F209F7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 w:after="90"/>
              <w:ind w:left="459" w:right="150"/>
              <w:jc w:val="both"/>
              <w:outlineLvl w:val="3"/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  <w:t>Identification</w:t>
            </w:r>
          </w:p>
          <w:p w:rsidR="003A594F" w:rsidRPr="00C270EE" w:rsidRDefault="003A594F" w:rsidP="00F209F7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Identification des défaillances potentielles</w:t>
            </w:r>
          </w:p>
          <w:p w:rsidR="003A594F" w:rsidRPr="00DD067A" w:rsidRDefault="003A594F" w:rsidP="00F209F7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lang w:val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Etude rationnelle des modes de de défaillance</w:t>
            </w:r>
          </w:p>
        </w:tc>
        <w:tc>
          <w:tcPr>
            <w:tcW w:w="1535" w:type="dxa"/>
            <w:vAlign w:val="center"/>
          </w:tcPr>
          <w:p w:rsidR="003A594F" w:rsidRDefault="003A594F" w:rsidP="00380DFF">
            <w:pPr>
              <w:jc w:val="center"/>
            </w:pPr>
            <w:r>
              <w:t>Jour</w:t>
            </w:r>
          </w:p>
        </w:tc>
        <w:tc>
          <w:tcPr>
            <w:tcW w:w="1053" w:type="dxa"/>
            <w:vAlign w:val="center"/>
          </w:tcPr>
          <w:p w:rsidR="003A594F" w:rsidRDefault="00AB2EA4" w:rsidP="008D303E">
            <w:pPr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3A594F" w:rsidRDefault="003A594F" w:rsidP="003A594F">
            <w:pPr>
              <w:jc w:val="center"/>
            </w:pPr>
          </w:p>
        </w:tc>
        <w:tc>
          <w:tcPr>
            <w:tcW w:w="1417" w:type="dxa"/>
            <w:vAlign w:val="center"/>
          </w:tcPr>
          <w:p w:rsidR="003A594F" w:rsidRDefault="003A594F" w:rsidP="003A594F">
            <w:pPr>
              <w:jc w:val="center"/>
            </w:pPr>
          </w:p>
        </w:tc>
      </w:tr>
      <w:tr w:rsidR="003A594F" w:rsidTr="003A594F">
        <w:tc>
          <w:tcPr>
            <w:tcW w:w="4925" w:type="dxa"/>
          </w:tcPr>
          <w:p w:rsidR="003A594F" w:rsidRPr="00C270EE" w:rsidRDefault="003A594F" w:rsidP="00F209F7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 w:after="90"/>
              <w:ind w:left="459" w:right="150"/>
              <w:jc w:val="both"/>
              <w:outlineLvl w:val="3"/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  <w:t>Valorisation</w:t>
            </w:r>
          </w:p>
          <w:p w:rsidR="003A594F" w:rsidRPr="00C270EE" w:rsidRDefault="003A594F" w:rsidP="00F209F7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Valorisation des défaillances potentielles</w:t>
            </w:r>
          </w:p>
          <w:p w:rsidR="003A594F" w:rsidRDefault="003A594F" w:rsidP="00F209F7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Etude de la criticité</w:t>
            </w:r>
          </w:p>
        </w:tc>
        <w:tc>
          <w:tcPr>
            <w:tcW w:w="1535" w:type="dxa"/>
            <w:vAlign w:val="center"/>
          </w:tcPr>
          <w:p w:rsidR="003A594F" w:rsidRDefault="003A594F" w:rsidP="00380DFF">
            <w:pPr>
              <w:jc w:val="center"/>
            </w:pPr>
            <w:r>
              <w:t>Jour</w:t>
            </w:r>
          </w:p>
        </w:tc>
        <w:tc>
          <w:tcPr>
            <w:tcW w:w="1053" w:type="dxa"/>
            <w:vAlign w:val="center"/>
          </w:tcPr>
          <w:p w:rsidR="003A594F" w:rsidRDefault="00AB2EA4" w:rsidP="003A594F">
            <w:pPr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3A594F" w:rsidRDefault="003A594F" w:rsidP="003A594F">
            <w:pPr>
              <w:jc w:val="center"/>
            </w:pPr>
          </w:p>
        </w:tc>
        <w:tc>
          <w:tcPr>
            <w:tcW w:w="1417" w:type="dxa"/>
            <w:vAlign w:val="center"/>
          </w:tcPr>
          <w:p w:rsidR="003A594F" w:rsidRDefault="003A594F" w:rsidP="003A594F">
            <w:pPr>
              <w:jc w:val="center"/>
            </w:pPr>
          </w:p>
        </w:tc>
      </w:tr>
      <w:tr w:rsidR="003A594F" w:rsidTr="003A594F">
        <w:tc>
          <w:tcPr>
            <w:tcW w:w="4925" w:type="dxa"/>
          </w:tcPr>
          <w:p w:rsidR="003A594F" w:rsidRPr="00C270EE" w:rsidRDefault="003A594F" w:rsidP="00F209F7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 w:after="90"/>
              <w:ind w:left="459" w:right="150"/>
              <w:jc w:val="both"/>
              <w:outlineLvl w:val="3"/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  <w:t>Actions Correctives</w:t>
            </w:r>
          </w:p>
          <w:p w:rsidR="003A594F" w:rsidRPr="00C270EE" w:rsidRDefault="003A594F" w:rsidP="00F209F7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Identification des actions préventives à conduire</w:t>
            </w:r>
          </w:p>
          <w:p w:rsidR="003A594F" w:rsidRPr="00C270EE" w:rsidRDefault="003A594F" w:rsidP="00F209F7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Identification des actions palliatives possibles</w:t>
            </w:r>
          </w:p>
          <w:p w:rsidR="003A594F" w:rsidRDefault="003A594F" w:rsidP="00F209F7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Identification des actions correctives</w:t>
            </w:r>
          </w:p>
        </w:tc>
        <w:tc>
          <w:tcPr>
            <w:tcW w:w="1535" w:type="dxa"/>
            <w:vAlign w:val="center"/>
          </w:tcPr>
          <w:p w:rsidR="003A594F" w:rsidRDefault="003A594F" w:rsidP="00380DFF">
            <w:pPr>
              <w:jc w:val="center"/>
            </w:pPr>
            <w:r>
              <w:t>Jour</w:t>
            </w:r>
          </w:p>
        </w:tc>
        <w:tc>
          <w:tcPr>
            <w:tcW w:w="1053" w:type="dxa"/>
            <w:vAlign w:val="center"/>
          </w:tcPr>
          <w:p w:rsidR="003A594F" w:rsidRDefault="00AB2EA4" w:rsidP="003A594F">
            <w:pPr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3A594F" w:rsidRDefault="003A594F" w:rsidP="003A594F">
            <w:pPr>
              <w:jc w:val="center"/>
            </w:pPr>
          </w:p>
        </w:tc>
        <w:tc>
          <w:tcPr>
            <w:tcW w:w="1417" w:type="dxa"/>
            <w:vAlign w:val="center"/>
          </w:tcPr>
          <w:p w:rsidR="003A594F" w:rsidRDefault="003A594F" w:rsidP="003A594F">
            <w:pPr>
              <w:jc w:val="center"/>
            </w:pPr>
          </w:p>
        </w:tc>
      </w:tr>
      <w:tr w:rsidR="003A594F" w:rsidTr="003A594F">
        <w:tc>
          <w:tcPr>
            <w:tcW w:w="10348" w:type="dxa"/>
            <w:gridSpan w:val="5"/>
          </w:tcPr>
          <w:p w:rsidR="003A594F" w:rsidRDefault="003A594F" w:rsidP="003A594F">
            <w:pPr>
              <w:jc w:val="center"/>
            </w:pPr>
            <w:r>
              <w:t>Station Toul</w:t>
            </w:r>
          </w:p>
        </w:tc>
      </w:tr>
      <w:tr w:rsidR="003A594F" w:rsidTr="003A594F">
        <w:tc>
          <w:tcPr>
            <w:tcW w:w="4925" w:type="dxa"/>
          </w:tcPr>
          <w:p w:rsidR="003A594F" w:rsidRPr="00C270EE" w:rsidRDefault="003A594F" w:rsidP="00380DFF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 w:after="90"/>
              <w:ind w:left="459" w:right="150"/>
              <w:jc w:val="both"/>
              <w:outlineLvl w:val="3"/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  <w:t>Analyse fonctionnelle</w:t>
            </w:r>
          </w:p>
          <w:p w:rsidR="003A594F" w:rsidRPr="00C270EE" w:rsidRDefault="003A594F" w:rsidP="00380DFF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Découpage fonctionnel</w:t>
            </w:r>
          </w:p>
          <w:p w:rsidR="003A594F" w:rsidRPr="003A594F" w:rsidRDefault="003A594F" w:rsidP="00380DFF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lang w:val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Préparation de l'étude de défaillance</w:t>
            </w:r>
          </w:p>
        </w:tc>
        <w:tc>
          <w:tcPr>
            <w:tcW w:w="1535" w:type="dxa"/>
            <w:vAlign w:val="center"/>
          </w:tcPr>
          <w:p w:rsidR="003A594F" w:rsidRDefault="003A594F" w:rsidP="00380DFF">
            <w:pPr>
              <w:jc w:val="center"/>
            </w:pPr>
            <w:r>
              <w:t>Jour</w:t>
            </w:r>
          </w:p>
        </w:tc>
        <w:tc>
          <w:tcPr>
            <w:tcW w:w="1053" w:type="dxa"/>
            <w:vAlign w:val="center"/>
          </w:tcPr>
          <w:p w:rsidR="003A594F" w:rsidRDefault="00AB2EA4" w:rsidP="003A594F">
            <w:pPr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3A594F" w:rsidRDefault="003A594F" w:rsidP="003A594F">
            <w:pPr>
              <w:jc w:val="center"/>
            </w:pPr>
          </w:p>
        </w:tc>
        <w:tc>
          <w:tcPr>
            <w:tcW w:w="1417" w:type="dxa"/>
            <w:vAlign w:val="center"/>
          </w:tcPr>
          <w:p w:rsidR="003A594F" w:rsidRDefault="003A594F" w:rsidP="003A594F">
            <w:pPr>
              <w:jc w:val="center"/>
            </w:pPr>
          </w:p>
        </w:tc>
      </w:tr>
      <w:tr w:rsidR="003A594F" w:rsidTr="003A594F">
        <w:tc>
          <w:tcPr>
            <w:tcW w:w="4925" w:type="dxa"/>
          </w:tcPr>
          <w:p w:rsidR="003A594F" w:rsidRPr="00C270EE" w:rsidRDefault="003A594F" w:rsidP="00380DFF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 w:after="90"/>
              <w:ind w:left="459" w:right="150"/>
              <w:jc w:val="both"/>
              <w:outlineLvl w:val="3"/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  <w:t>Identification</w:t>
            </w:r>
          </w:p>
          <w:p w:rsidR="003A594F" w:rsidRPr="00C270EE" w:rsidRDefault="003A594F" w:rsidP="00380DFF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Identification des défaillances potentielles</w:t>
            </w:r>
          </w:p>
          <w:p w:rsidR="003A594F" w:rsidRPr="003A594F" w:rsidRDefault="003A594F" w:rsidP="00380DFF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lang w:val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Etude rationnelle des modes de de défaillance</w:t>
            </w:r>
          </w:p>
        </w:tc>
        <w:tc>
          <w:tcPr>
            <w:tcW w:w="1535" w:type="dxa"/>
            <w:vAlign w:val="center"/>
          </w:tcPr>
          <w:p w:rsidR="003A594F" w:rsidRDefault="003A594F" w:rsidP="00380DFF">
            <w:pPr>
              <w:jc w:val="center"/>
            </w:pPr>
            <w:r>
              <w:t>Jour</w:t>
            </w:r>
          </w:p>
        </w:tc>
        <w:tc>
          <w:tcPr>
            <w:tcW w:w="1053" w:type="dxa"/>
            <w:vAlign w:val="center"/>
          </w:tcPr>
          <w:p w:rsidR="003A594F" w:rsidRDefault="00AB2EA4" w:rsidP="008D303E">
            <w:pPr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3A594F" w:rsidRDefault="003A594F" w:rsidP="003A594F">
            <w:pPr>
              <w:jc w:val="center"/>
            </w:pPr>
          </w:p>
        </w:tc>
        <w:tc>
          <w:tcPr>
            <w:tcW w:w="1417" w:type="dxa"/>
            <w:vAlign w:val="center"/>
          </w:tcPr>
          <w:p w:rsidR="003A594F" w:rsidRDefault="003A594F" w:rsidP="003A594F">
            <w:pPr>
              <w:jc w:val="center"/>
            </w:pPr>
          </w:p>
        </w:tc>
      </w:tr>
      <w:tr w:rsidR="003A594F" w:rsidTr="003A594F">
        <w:tc>
          <w:tcPr>
            <w:tcW w:w="4925" w:type="dxa"/>
          </w:tcPr>
          <w:p w:rsidR="003A594F" w:rsidRPr="00C270EE" w:rsidRDefault="003A594F" w:rsidP="00380DFF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 w:after="90"/>
              <w:ind w:left="459" w:right="150"/>
              <w:jc w:val="both"/>
              <w:outlineLvl w:val="3"/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  <w:lastRenderedPageBreak/>
              <w:t>Valorisation</w:t>
            </w:r>
          </w:p>
          <w:p w:rsidR="003A594F" w:rsidRPr="00C270EE" w:rsidRDefault="003A594F" w:rsidP="00380DFF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Valorisation des défaillances potentielles</w:t>
            </w:r>
          </w:p>
          <w:p w:rsidR="003A594F" w:rsidRDefault="003A594F" w:rsidP="00380DFF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Etude de la criticité</w:t>
            </w:r>
          </w:p>
        </w:tc>
        <w:tc>
          <w:tcPr>
            <w:tcW w:w="1535" w:type="dxa"/>
            <w:vAlign w:val="center"/>
          </w:tcPr>
          <w:p w:rsidR="003A594F" w:rsidRDefault="003A594F" w:rsidP="00380DFF">
            <w:pPr>
              <w:jc w:val="center"/>
            </w:pPr>
            <w:r>
              <w:t>Jour</w:t>
            </w:r>
          </w:p>
        </w:tc>
        <w:tc>
          <w:tcPr>
            <w:tcW w:w="1053" w:type="dxa"/>
            <w:vAlign w:val="center"/>
          </w:tcPr>
          <w:p w:rsidR="003A594F" w:rsidRDefault="00AB2EA4" w:rsidP="003A594F">
            <w:pPr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3A594F" w:rsidRDefault="003A594F" w:rsidP="003A594F">
            <w:pPr>
              <w:jc w:val="center"/>
            </w:pPr>
          </w:p>
        </w:tc>
        <w:tc>
          <w:tcPr>
            <w:tcW w:w="1417" w:type="dxa"/>
            <w:vAlign w:val="center"/>
          </w:tcPr>
          <w:p w:rsidR="003A594F" w:rsidRDefault="003A594F" w:rsidP="003A594F">
            <w:pPr>
              <w:jc w:val="center"/>
            </w:pPr>
          </w:p>
        </w:tc>
      </w:tr>
      <w:tr w:rsidR="003A594F" w:rsidTr="003A594F">
        <w:tc>
          <w:tcPr>
            <w:tcW w:w="4925" w:type="dxa"/>
          </w:tcPr>
          <w:p w:rsidR="003A594F" w:rsidRPr="00C270EE" w:rsidRDefault="003A594F" w:rsidP="00380DFF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 w:after="90"/>
              <w:ind w:left="459" w:right="150"/>
              <w:jc w:val="both"/>
              <w:outlineLvl w:val="3"/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  <w:t>Actions Correctives</w:t>
            </w:r>
          </w:p>
          <w:p w:rsidR="003A594F" w:rsidRPr="00C270EE" w:rsidRDefault="003A594F" w:rsidP="00380DFF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Identification des actions préventives à conduire</w:t>
            </w:r>
          </w:p>
          <w:p w:rsidR="003A594F" w:rsidRPr="00C270EE" w:rsidRDefault="003A594F" w:rsidP="00380DFF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Identification des actions palliatives possibles</w:t>
            </w:r>
          </w:p>
          <w:p w:rsidR="003A594F" w:rsidRDefault="003A594F" w:rsidP="00380DFF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Identification des actions correctives</w:t>
            </w:r>
          </w:p>
        </w:tc>
        <w:tc>
          <w:tcPr>
            <w:tcW w:w="1535" w:type="dxa"/>
            <w:vAlign w:val="center"/>
          </w:tcPr>
          <w:p w:rsidR="003A594F" w:rsidRDefault="003A594F" w:rsidP="00380DFF">
            <w:pPr>
              <w:jc w:val="center"/>
            </w:pPr>
            <w:r>
              <w:t>Jour</w:t>
            </w:r>
          </w:p>
        </w:tc>
        <w:tc>
          <w:tcPr>
            <w:tcW w:w="1053" w:type="dxa"/>
            <w:vAlign w:val="center"/>
          </w:tcPr>
          <w:p w:rsidR="003A594F" w:rsidRDefault="00AB2EA4" w:rsidP="003A594F">
            <w:pPr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3A594F" w:rsidRDefault="003A594F" w:rsidP="003A594F">
            <w:pPr>
              <w:jc w:val="center"/>
            </w:pPr>
          </w:p>
        </w:tc>
        <w:tc>
          <w:tcPr>
            <w:tcW w:w="1417" w:type="dxa"/>
            <w:vAlign w:val="center"/>
          </w:tcPr>
          <w:p w:rsidR="003A594F" w:rsidRDefault="003A594F" w:rsidP="003A594F">
            <w:pPr>
              <w:jc w:val="center"/>
            </w:pPr>
          </w:p>
        </w:tc>
      </w:tr>
      <w:tr w:rsidR="003A594F" w:rsidTr="003A594F">
        <w:tc>
          <w:tcPr>
            <w:tcW w:w="4925" w:type="dxa"/>
          </w:tcPr>
          <w:p w:rsidR="003A594F" w:rsidRPr="00C270EE" w:rsidRDefault="003A594F" w:rsidP="00F209F7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 w:after="90"/>
              <w:ind w:left="459" w:right="150"/>
              <w:jc w:val="both"/>
              <w:outlineLvl w:val="3"/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</w:pPr>
            <w:r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  <w:t>Remise des documents</w:t>
            </w:r>
          </w:p>
        </w:tc>
        <w:tc>
          <w:tcPr>
            <w:tcW w:w="1535" w:type="dxa"/>
          </w:tcPr>
          <w:p w:rsidR="003A594F" w:rsidRDefault="003A594F" w:rsidP="003A594F">
            <w:pPr>
              <w:jc w:val="center"/>
            </w:pPr>
            <w:r>
              <w:t>Forfait</w:t>
            </w:r>
          </w:p>
        </w:tc>
        <w:tc>
          <w:tcPr>
            <w:tcW w:w="1053" w:type="dxa"/>
          </w:tcPr>
          <w:p w:rsidR="003A594F" w:rsidRDefault="00AB2EA4" w:rsidP="00AB2EA4"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3A594F" w:rsidRDefault="003A594F"/>
        </w:tc>
        <w:tc>
          <w:tcPr>
            <w:tcW w:w="1417" w:type="dxa"/>
          </w:tcPr>
          <w:p w:rsidR="003A594F" w:rsidRDefault="003A594F"/>
        </w:tc>
      </w:tr>
    </w:tbl>
    <w:p w:rsidR="009876F3" w:rsidRDefault="00AC45A0"/>
    <w:sectPr w:rsidR="009876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9F7" w:rsidRDefault="00F209F7" w:rsidP="00F209F7">
      <w:r>
        <w:separator/>
      </w:r>
    </w:p>
  </w:endnote>
  <w:endnote w:type="continuationSeparator" w:id="0">
    <w:p w:rsidR="00F209F7" w:rsidRDefault="00F209F7" w:rsidP="00F20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9F7" w:rsidRDefault="00F209F7" w:rsidP="00F209F7">
      <w:r>
        <w:separator/>
      </w:r>
    </w:p>
  </w:footnote>
  <w:footnote w:type="continuationSeparator" w:id="0">
    <w:p w:rsidR="00F209F7" w:rsidRDefault="00F209F7" w:rsidP="00F20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A6929"/>
    <w:multiLevelType w:val="multilevel"/>
    <w:tmpl w:val="11647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C52CB6"/>
    <w:multiLevelType w:val="multilevel"/>
    <w:tmpl w:val="1A301A46"/>
    <w:styleLink w:val="CCAP"/>
    <w:lvl w:ilvl="0">
      <w:start w:val="1"/>
      <w:numFmt w:val="upperRoman"/>
      <w:suff w:val="nothing"/>
      <w:lvlText w:val="CHAPITRE - %1 -"/>
      <w:lvlJc w:val="left"/>
      <w:pPr>
        <w:ind w:left="360" w:hanging="360"/>
      </w:pPr>
      <w:rPr>
        <w:rFonts w:hint="default"/>
        <w:color w:val="auto"/>
        <w:u w:val="single"/>
      </w:rPr>
    </w:lvl>
    <w:lvl w:ilvl="1">
      <w:start w:val="1"/>
      <w:numFmt w:val="decimal"/>
      <w:lvlRestart w:val="0"/>
      <w:suff w:val="nothing"/>
      <w:lvlText w:val="Article - %2 -"/>
      <w:lvlJc w:val="left"/>
      <w:pPr>
        <w:ind w:left="720" w:hanging="360"/>
      </w:pPr>
      <w:rPr>
        <w:rFonts w:ascii="Times New Roman" w:hAnsi="Times New Roman" w:hint="default"/>
        <w:b/>
        <w:i w:val="0"/>
        <w:sz w:val="28"/>
        <w:u w:val="single"/>
      </w:rPr>
    </w:lvl>
    <w:lvl w:ilvl="2">
      <w:start w:val="1"/>
      <w:numFmt w:val="decimal"/>
      <w:suff w:val="space"/>
      <w:lvlText w:val="%2.%3-"/>
      <w:lvlJc w:val="left"/>
      <w:pPr>
        <w:ind w:left="1080" w:hanging="796"/>
      </w:pPr>
      <w:rPr>
        <w:rFonts w:hint="default"/>
      </w:rPr>
    </w:lvl>
    <w:lvl w:ilvl="3">
      <w:start w:val="1"/>
      <w:numFmt w:val="decimal"/>
      <w:suff w:val="space"/>
      <w:lvlText w:val="%2.%3.%4-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2.%3.%4.%5 -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suff w:val="space"/>
      <w:lvlText w:val="%2.%3.%4.%5.%6-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9F7"/>
    <w:rsid w:val="000D3D27"/>
    <w:rsid w:val="001001D0"/>
    <w:rsid w:val="003A594F"/>
    <w:rsid w:val="008D303E"/>
    <w:rsid w:val="00AB2EA4"/>
    <w:rsid w:val="00AC45A0"/>
    <w:rsid w:val="00DD067A"/>
    <w:rsid w:val="00EA30CF"/>
    <w:rsid w:val="00EE7054"/>
    <w:rsid w:val="00F129DF"/>
    <w:rsid w:val="00F2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9F7"/>
    <w:pPr>
      <w:spacing w:after="0" w:line="240" w:lineRule="auto"/>
    </w:pPr>
    <w:rPr>
      <w:rFonts w:ascii="Times New Roman" w:eastAsia="Times New Roman" w:hAnsi="Times New Roman" w:cs="Arial"/>
      <w:noProof/>
      <w:sz w:val="24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CAP">
    <w:name w:val="CCAP"/>
    <w:uiPriority w:val="99"/>
    <w:rsid w:val="00EA30CF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209F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09F7"/>
    <w:rPr>
      <w:rFonts w:ascii="Tahoma" w:eastAsia="Times New Roman" w:hAnsi="Tahoma" w:cs="Tahoma"/>
      <w:noProof/>
      <w:sz w:val="16"/>
      <w:szCs w:val="16"/>
      <w:lang w:val="en-US"/>
    </w:rPr>
  </w:style>
  <w:style w:type="table" w:styleId="Grilledutableau">
    <w:name w:val="Table Grid"/>
    <w:basedOn w:val="TableauNormal"/>
    <w:uiPriority w:val="59"/>
    <w:rsid w:val="00F20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F209F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209F7"/>
    <w:rPr>
      <w:rFonts w:ascii="Times New Roman" w:eastAsia="Times New Roman" w:hAnsi="Times New Roman" w:cs="Arial"/>
      <w:noProof/>
      <w:sz w:val="24"/>
      <w:szCs w:val="20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F209F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209F7"/>
    <w:rPr>
      <w:rFonts w:ascii="Times New Roman" w:eastAsia="Times New Roman" w:hAnsi="Times New Roman" w:cs="Arial"/>
      <w:noProof/>
      <w:sz w:val="24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9F7"/>
    <w:pPr>
      <w:spacing w:after="0" w:line="240" w:lineRule="auto"/>
    </w:pPr>
    <w:rPr>
      <w:rFonts w:ascii="Times New Roman" w:eastAsia="Times New Roman" w:hAnsi="Times New Roman" w:cs="Arial"/>
      <w:noProof/>
      <w:sz w:val="24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CAP">
    <w:name w:val="CCAP"/>
    <w:uiPriority w:val="99"/>
    <w:rsid w:val="00EA30CF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209F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09F7"/>
    <w:rPr>
      <w:rFonts w:ascii="Tahoma" w:eastAsia="Times New Roman" w:hAnsi="Tahoma" w:cs="Tahoma"/>
      <w:noProof/>
      <w:sz w:val="16"/>
      <w:szCs w:val="16"/>
      <w:lang w:val="en-US"/>
    </w:rPr>
  </w:style>
  <w:style w:type="table" w:styleId="Grilledutableau">
    <w:name w:val="Table Grid"/>
    <w:basedOn w:val="TableauNormal"/>
    <w:uiPriority w:val="59"/>
    <w:rsid w:val="00F20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F209F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209F7"/>
    <w:rPr>
      <w:rFonts w:ascii="Times New Roman" w:eastAsia="Times New Roman" w:hAnsi="Times New Roman" w:cs="Arial"/>
      <w:noProof/>
      <w:sz w:val="24"/>
      <w:szCs w:val="20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F209F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209F7"/>
    <w:rPr>
      <w:rFonts w:ascii="Times New Roman" w:eastAsia="Times New Roman" w:hAnsi="Times New Roman" w:cs="Arial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8EB78-505D-4E93-BC1C-127751113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249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Communauté d'agglomération du Calasis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bbeaurain</dc:creator>
  <cp:lastModifiedBy>Jennifer Leleu</cp:lastModifiedBy>
  <cp:revision>6</cp:revision>
  <dcterms:created xsi:type="dcterms:W3CDTF">2017-04-03T07:39:00Z</dcterms:created>
  <dcterms:modified xsi:type="dcterms:W3CDTF">2017-04-13T12:27:00Z</dcterms:modified>
</cp:coreProperties>
</file>